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Eclipse Adoptium Java 17.0.8.1 on Linux -->
    <w:p>
      <w:pPr>
        <w:pStyle w:val="TitleStyle"/>
      </w:pPr>
      <w:r>
        <w:t>Określenie terminu wdrożenia rozwiązań technicznych umożliwiających świadczenie usług związanych z wnioskowaniem o dowód osobisty.</w:t>
      </w:r>
    </w:p>
    <w:p>
      <w:pPr>
        <w:pStyle w:val="NormalStyle"/>
      </w:pPr>
      <w:r>
        <w:t>M.P.2023.1385 z dnia 2023.12.14</w:t>
      </w:r>
    </w:p>
    <w:p>
      <w:pPr>
        <w:pStyle w:val="NormalStyle"/>
      </w:pPr>
      <w:r>
        <w:t>Status: Akt jednorazowy </w:t>
      </w:r>
    </w:p>
    <w:p>
      <w:pPr>
        <w:pStyle w:val="NormalStyle"/>
      </w:pPr>
      <w:r>
        <w:t>Wersja od: 14 grudnia 2023r.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14 grudnia 2023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KOMUNIKAT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MINISTRA ROZWOJU I TECHNOLOGII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11 grudnia 2023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 sprawie określenia terminu wdrożenia rozwiązań technicznych umożliwiających świadczenie usług związanych z wnioskowaniem o dowód osobisty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75 ust. 1 pkt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26 maja 2023 r. o aplikacji mObywatel (Dz. U. poz. 1234) ogłasza się, co następuje: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Dzień wdrożenia rozwiązań technicznych umożliwiających świadczenie usług: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złożenia wniosku o wydanie dowodu osobistego, niezawierającego odwzorowania własnoręcznego podpisu oraz odcisków palców, przy użyciu usługi elektronicznej, udostępnionej w systemie teleinformatycznym, o którym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24 ust. 2a pkt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54 pkt 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sierpnia 2010 r. o dowodach osobistych (Dz. U. z 2022 r. poz. 671 oraz z 2023 r. poz. 1234 i 1941),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złożenia wniosku o wydanie dowodu osobistego na piśmie utrwalonym w postaci elektronicznej wypełnionego przez organ gminy na podstawie danych podanych przez wnioskodawcę i danych pobranych z rejestru PESEL oraz podpisania wniosku o dowód osobisty przez wnioskodawcę za pomocą urządzenia umożliwiającego złożenie i odwzorowanie podpisu własnoręcznego, o którym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24 ust.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ust. 3a-3f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28 pkt 11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11a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sierpnia 2010 r. o dowodach osobistych,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złożenia podpisu na formularzu odbioru dowodu osobistego za pomocą urządzenia umożliwiającego złożenie i odwzorowanie podpisu własnoręcznego, o którym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31 ust. 2 pkt 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ust.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sierpnia 2010 r. o dowodach osobistych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określa się na 29 grudnia 2023 r.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Minister Rozwoju i Technologii kieruje działem administracji rządowej - informatyzacja,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 ust. 2 pkt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Prezesa Rady Ministrów z dnia 28 listopada 2023 r. w sprawie szczegółowego zakresu działania Ministra Rozwoju i Technologii (Dz. U. poz. 2589).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